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5A3" w:rsidRPr="00F925A3" w:rsidRDefault="00F925A3" w:rsidP="00F925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587067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925A3" w:rsidRPr="00F925A3" w:rsidRDefault="00F925A3" w:rsidP="00F925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dd289b92-99f9-4ffd-99dd-b96878a7ef5e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F925A3" w:rsidRPr="00F925A3" w:rsidRDefault="00F925A3" w:rsidP="00F925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4ab8d2b-cc63-4162-8637-082a4aa72642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города Оренбурга</w:t>
      </w:r>
      <w:bookmarkEnd w:id="2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925A3" w:rsidRPr="00F925A3" w:rsidRDefault="00F925A3" w:rsidP="00F925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>МОАУ "СОШ №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</w:rPr>
        <w:t>85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925A3" w:rsidRPr="00F925A3" w:rsidRDefault="00F925A3" w:rsidP="00F925A3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F925A3" w:rsidRPr="00F925A3" w:rsidTr="00B27BF0">
        <w:tc>
          <w:tcPr>
            <w:tcW w:w="3290" w:type="dxa"/>
          </w:tcPr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естественно-научного цикла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О.А. Неверова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№_____ 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сентября 2023г.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25A3" w:rsidRPr="00F925A3" w:rsidRDefault="00F925A3" w:rsidP="00F92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   Н.Ф. Карякина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№_____ 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сентября 2023г.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925A3" w:rsidRPr="00F925A3" w:rsidRDefault="00F925A3" w:rsidP="00F925A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F925A3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 xml:space="preserve">Директор МОАУ </w:t>
            </w:r>
          </w:p>
          <w:p w:rsidR="00F925A3" w:rsidRPr="00F925A3" w:rsidRDefault="00F925A3" w:rsidP="00F925A3">
            <w:pPr>
              <w:widowControl w:val="0"/>
              <w:autoSpaceDE w:val="0"/>
              <w:autoSpaceDN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F925A3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«СОШ № 85»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Э.Г. Сулейманов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 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сентября 2023г.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25A3" w:rsidRPr="00F925A3" w:rsidRDefault="00F925A3" w:rsidP="00F92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34ED" w:rsidRPr="0099797C" w:rsidRDefault="00E734ED">
      <w:pPr>
        <w:spacing w:after="0"/>
        <w:ind w:left="120"/>
        <w:rPr>
          <w:lang w:val="ru-RU"/>
        </w:rPr>
      </w:pPr>
    </w:p>
    <w:p w:rsidR="00E734ED" w:rsidRPr="0099797C" w:rsidRDefault="0099797C">
      <w:pPr>
        <w:spacing w:after="0"/>
        <w:ind w:left="120"/>
        <w:rPr>
          <w:lang w:val="ru-RU"/>
        </w:rPr>
      </w:pPr>
      <w:r w:rsidRPr="0099797C">
        <w:rPr>
          <w:rFonts w:ascii="Times New Roman" w:hAnsi="Times New Roman"/>
          <w:color w:val="000000"/>
          <w:sz w:val="28"/>
          <w:lang w:val="ru-RU"/>
        </w:rPr>
        <w:t>‌</w:t>
      </w:r>
    </w:p>
    <w:p w:rsidR="00E734ED" w:rsidRPr="0099797C" w:rsidRDefault="00E734ED">
      <w:pPr>
        <w:spacing w:after="0"/>
        <w:ind w:left="120"/>
        <w:rPr>
          <w:lang w:val="ru-RU"/>
        </w:rPr>
      </w:pPr>
    </w:p>
    <w:p w:rsidR="00E734ED" w:rsidRPr="0099797C" w:rsidRDefault="00E734ED">
      <w:pPr>
        <w:spacing w:after="0"/>
        <w:ind w:left="120"/>
        <w:rPr>
          <w:lang w:val="ru-RU"/>
        </w:rPr>
      </w:pPr>
    </w:p>
    <w:p w:rsidR="00E734ED" w:rsidRPr="0099797C" w:rsidRDefault="00E734ED">
      <w:pPr>
        <w:spacing w:after="0"/>
        <w:ind w:left="120"/>
        <w:rPr>
          <w:lang w:val="ru-RU"/>
        </w:rPr>
      </w:pPr>
    </w:p>
    <w:p w:rsidR="00E734ED" w:rsidRDefault="009979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979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5A3" w:rsidRPr="0099797C" w:rsidRDefault="00F92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:rsidR="00E734ED" w:rsidRPr="0099797C" w:rsidRDefault="0099797C" w:rsidP="00F925A3">
      <w:pPr>
        <w:spacing w:after="0" w:line="408" w:lineRule="auto"/>
        <w:ind w:left="120"/>
        <w:jc w:val="center"/>
        <w:rPr>
          <w:lang w:val="ru-RU"/>
        </w:rPr>
      </w:pPr>
      <w:r w:rsidRPr="009979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797C">
        <w:rPr>
          <w:rFonts w:ascii="Times New Roman" w:hAnsi="Times New Roman"/>
          <w:color w:val="000000"/>
          <w:sz w:val="28"/>
          <w:lang w:val="ru-RU"/>
        </w:rPr>
        <w:t xml:space="preserve"> 511886)</w:t>
      </w:r>
    </w:p>
    <w:p w:rsidR="00F925A3" w:rsidRDefault="00F925A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99797C" w:rsidRPr="0099797C">
        <w:rPr>
          <w:rFonts w:ascii="Times New Roman" w:hAnsi="Times New Roman"/>
          <w:b/>
          <w:color w:val="000000"/>
          <w:sz w:val="28"/>
          <w:lang w:val="ru-RU"/>
        </w:rPr>
        <w:t>чебного предмета</w:t>
      </w:r>
    </w:p>
    <w:p w:rsidR="00E734ED" w:rsidRPr="0099797C" w:rsidRDefault="0099797C">
      <w:pPr>
        <w:spacing w:after="0" w:line="408" w:lineRule="auto"/>
        <w:ind w:left="120"/>
        <w:jc w:val="center"/>
        <w:rPr>
          <w:lang w:val="ru-RU"/>
        </w:rPr>
      </w:pPr>
      <w:r w:rsidRPr="0099797C">
        <w:rPr>
          <w:rFonts w:ascii="Times New Roman" w:hAnsi="Times New Roman"/>
          <w:b/>
          <w:color w:val="000000"/>
          <w:sz w:val="28"/>
          <w:lang w:val="ru-RU"/>
        </w:rPr>
        <w:t xml:space="preserve"> «Химия. Базовый уровень»</w:t>
      </w:r>
    </w:p>
    <w:p w:rsidR="00E734ED" w:rsidRPr="0099797C" w:rsidRDefault="00F92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="0099797C" w:rsidRPr="0099797C">
        <w:rPr>
          <w:rFonts w:ascii="Times New Roman" w:hAnsi="Times New Roman"/>
          <w:color w:val="000000"/>
          <w:sz w:val="28"/>
          <w:lang w:val="ru-RU"/>
        </w:rPr>
        <w:t xml:space="preserve">для 8 </w:t>
      </w:r>
      <w:r w:rsidR="0099797C" w:rsidRPr="0099797C">
        <w:rPr>
          <w:rFonts w:ascii="Calibri" w:hAnsi="Calibri"/>
          <w:color w:val="000000"/>
          <w:sz w:val="28"/>
          <w:lang w:val="ru-RU"/>
        </w:rPr>
        <w:t xml:space="preserve">– </w:t>
      </w:r>
      <w:r w:rsidR="0099797C" w:rsidRPr="0099797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  <w:r>
        <w:rPr>
          <w:rFonts w:ascii="Times New Roman" w:hAnsi="Times New Roman"/>
          <w:color w:val="000000"/>
          <w:sz w:val="28"/>
          <w:lang w:val="ru-RU"/>
        </w:rPr>
        <w:t>образовательных организаций)</w:t>
      </w: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Pr="0099797C" w:rsidRDefault="00E734ED">
      <w:pPr>
        <w:spacing w:after="0"/>
        <w:ind w:left="120"/>
        <w:jc w:val="center"/>
        <w:rPr>
          <w:lang w:val="ru-RU"/>
        </w:rPr>
      </w:pPr>
    </w:p>
    <w:p w:rsidR="00E734ED" w:rsidRDefault="00E734ED">
      <w:pPr>
        <w:spacing w:after="0"/>
        <w:ind w:left="120"/>
        <w:jc w:val="center"/>
        <w:rPr>
          <w:lang w:val="ru-RU"/>
        </w:rPr>
      </w:pPr>
    </w:p>
    <w:p w:rsidR="00F925A3" w:rsidRDefault="00F925A3">
      <w:pPr>
        <w:spacing w:after="0"/>
        <w:ind w:left="120"/>
        <w:jc w:val="center"/>
        <w:rPr>
          <w:lang w:val="ru-RU"/>
        </w:rPr>
      </w:pPr>
    </w:p>
    <w:p w:rsidR="00F925A3" w:rsidRPr="0099797C" w:rsidRDefault="00F925A3">
      <w:pPr>
        <w:spacing w:after="0"/>
        <w:ind w:left="120"/>
        <w:jc w:val="center"/>
        <w:rPr>
          <w:lang w:val="ru-RU"/>
        </w:rPr>
      </w:pPr>
    </w:p>
    <w:p w:rsidR="00E734ED" w:rsidRPr="00F925A3" w:rsidRDefault="0099797C">
      <w:pPr>
        <w:spacing w:after="0"/>
        <w:ind w:left="120"/>
        <w:jc w:val="center"/>
        <w:rPr>
          <w:b/>
          <w:lang w:val="ru-RU"/>
        </w:rPr>
      </w:pPr>
      <w:r w:rsidRPr="009979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="00F925A3" w:rsidRPr="00F925A3">
        <w:rPr>
          <w:rFonts w:ascii="Times New Roman" w:hAnsi="Times New Roman"/>
          <w:b/>
          <w:color w:val="000000"/>
          <w:sz w:val="28"/>
          <w:lang w:val="ru-RU"/>
        </w:rPr>
        <w:t xml:space="preserve">Оренбург </w:t>
      </w:r>
      <w:r w:rsidRPr="00F925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925A3">
        <w:rPr>
          <w:rFonts w:ascii="Times New Roman" w:hAnsi="Times New Roman"/>
          <w:b/>
          <w:color w:val="000000"/>
          <w:sz w:val="28"/>
          <w:lang w:val="ru-RU"/>
        </w:rPr>
        <w:t>‌ ‌​</w:t>
      </w:r>
    </w:p>
    <w:p w:rsidR="00E734ED" w:rsidRPr="00F925A3" w:rsidRDefault="00E734ED">
      <w:pPr>
        <w:spacing w:after="0"/>
        <w:ind w:left="120"/>
        <w:rPr>
          <w:b/>
          <w:lang w:val="ru-RU"/>
        </w:rPr>
      </w:pPr>
    </w:p>
    <w:p w:rsidR="00E734ED" w:rsidRPr="0099797C" w:rsidRDefault="00E734ED">
      <w:pPr>
        <w:rPr>
          <w:lang w:val="ru-RU"/>
        </w:rPr>
        <w:sectPr w:rsidR="00E734ED" w:rsidRPr="0099797C">
          <w:pgSz w:w="11906" w:h="16383"/>
          <w:pgMar w:top="1134" w:right="850" w:bottom="1134" w:left="1701" w:header="720" w:footer="720" w:gutter="0"/>
          <w:cols w:space="720"/>
        </w:sectPr>
      </w:pPr>
    </w:p>
    <w:p w:rsidR="00E734ED" w:rsidRPr="00F925A3" w:rsidRDefault="009979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587068"/>
      <w:bookmarkEnd w:id="0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734ED" w:rsidRPr="00F925A3" w:rsidRDefault="009979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атомно­-молекулярного учения как основы всего естествознания;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734ED" w:rsidRPr="00D92A35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>5–7 классы» и «Физика. 7 класс».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Calibri" w:hAnsi="Calibri"/>
          <w:color w:val="333333"/>
          <w:sz w:val="24"/>
          <w:szCs w:val="24"/>
          <w:lang w:val="ru-RU"/>
        </w:rPr>
        <w:lastRenderedPageBreak/>
        <w:t>–</w:t>
      </w:r>
      <w:r w:rsidRPr="00F925A3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734ED" w:rsidRPr="00F925A3" w:rsidRDefault="0099797C" w:rsidP="00010A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5" w:name="9012e5c9-2e66-40e9-9799-caf6f2595164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5"/>
      <w:r w:rsidR="00010A0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E734ED" w:rsidRPr="00F925A3" w:rsidRDefault="009979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734ED" w:rsidRPr="00F925A3" w:rsidRDefault="00E734ED">
      <w:pPr>
        <w:rPr>
          <w:sz w:val="24"/>
          <w:szCs w:val="24"/>
          <w:lang w:val="ru-RU"/>
        </w:rPr>
        <w:sectPr w:rsidR="00E734ED" w:rsidRPr="00F925A3" w:rsidSect="00F925A3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E734ED" w:rsidRDefault="0099797C" w:rsidP="00010A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587069"/>
      <w:bookmarkEnd w:id="4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10A02" w:rsidRPr="00F925A3" w:rsidRDefault="00010A02" w:rsidP="00010A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вещества. </w:t>
      </w:r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Моль. Молярная масса.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 xml:space="preserve">Оксиды. Применение кислорода.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Основания. Роль растворов в природе и в жизни человека.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Круговорот воды в природе. Загрязнение природных вод. Охрана и очистка природных вод.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-восстановительные реакции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окисления.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(горение, реакции разложения, соединения).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E734ED" w:rsidRDefault="009979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010A02" w:rsidRPr="00F925A3" w:rsidRDefault="00010A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­-восстановительных реакций с использованием метода электронного баланса.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Действие хлора и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F925A3">
        <w:rPr>
          <w:rFonts w:ascii="Times New Roman" w:hAnsi="Times New Roman"/>
          <w:color w:val="000000"/>
          <w:sz w:val="24"/>
          <w:szCs w:val="24"/>
        </w:rPr>
        <w:t>VI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F925A3">
        <w:rPr>
          <w:rFonts w:ascii="Times New Roman" w:hAnsi="Times New Roman"/>
          <w:color w:val="000000"/>
          <w:sz w:val="24"/>
          <w:szCs w:val="24"/>
        </w:rPr>
        <w:t>V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F925A3">
        <w:rPr>
          <w:rFonts w:ascii="Times New Roman" w:hAnsi="Times New Roman"/>
          <w:color w:val="000000"/>
          <w:sz w:val="24"/>
          <w:szCs w:val="24"/>
        </w:rPr>
        <w:t>V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F925A3">
        <w:rPr>
          <w:rFonts w:ascii="Times New Roman" w:hAnsi="Times New Roman"/>
          <w:color w:val="000000"/>
          <w:sz w:val="24"/>
          <w:szCs w:val="24"/>
        </w:rPr>
        <w:t>IV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D92A35">
        <w:rPr>
          <w:rFonts w:ascii="Times New Roman" w:hAnsi="Times New Roman"/>
          <w:color w:val="000000"/>
          <w:sz w:val="24"/>
          <w:szCs w:val="24"/>
          <w:lang w:val="ru-RU"/>
        </w:rPr>
        <w:t xml:space="preserve">Адсорбция. Круговорот углерода в природе.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F925A3">
        <w:rPr>
          <w:rFonts w:ascii="Times New Roman" w:hAnsi="Times New Roman"/>
          <w:color w:val="000000"/>
          <w:sz w:val="24"/>
          <w:szCs w:val="24"/>
        </w:rPr>
        <w:t>IV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F925A3">
        <w:rPr>
          <w:rFonts w:ascii="Times New Roman" w:hAnsi="Times New Roman"/>
          <w:color w:val="000000"/>
          <w:sz w:val="24"/>
          <w:szCs w:val="24"/>
        </w:rPr>
        <w:t>IV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F925A3">
        <w:rPr>
          <w:rFonts w:ascii="Times New Roman" w:hAnsi="Times New Roman"/>
          <w:color w:val="000000"/>
          <w:sz w:val="24"/>
          <w:szCs w:val="24"/>
        </w:rPr>
        <w:t>III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F925A3">
        <w:rPr>
          <w:rFonts w:ascii="Times New Roman" w:hAnsi="Times New Roman"/>
          <w:color w:val="000000"/>
          <w:sz w:val="24"/>
          <w:szCs w:val="24"/>
        </w:rPr>
        <w:t>III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меди (</w:t>
      </w:r>
      <w:r w:rsidRPr="00F925A3">
        <w:rPr>
          <w:rFonts w:ascii="Times New Roman" w:hAnsi="Times New Roman"/>
          <w:color w:val="000000"/>
          <w:sz w:val="24"/>
          <w:szCs w:val="24"/>
        </w:rPr>
        <w:t>II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F925A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Реализация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734ED" w:rsidRPr="00F925A3" w:rsidRDefault="0099797C" w:rsidP="00010A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E734ED" w:rsidRPr="00F925A3" w:rsidSect="00F925A3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010A02" w:rsidRDefault="00010A02" w:rsidP="00010A02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3587071"/>
      <w:bookmarkEnd w:id="6"/>
    </w:p>
    <w:p w:rsidR="00E734ED" w:rsidRDefault="0099797C" w:rsidP="00010A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010A02" w:rsidRPr="00F925A3" w:rsidRDefault="00010A02" w:rsidP="00010A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38318759"/>
      <w:bookmarkEnd w:id="8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734ED" w:rsidRDefault="009979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10A02" w:rsidRPr="00F925A3" w:rsidRDefault="00010A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734ED" w:rsidRDefault="009979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:rsidR="00010A02" w:rsidRPr="00F925A3" w:rsidRDefault="00010A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E734ED" w:rsidRPr="00F925A3" w:rsidRDefault="009979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E734ED" w:rsidRPr="00F925A3" w:rsidRDefault="009979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химическую символику для составления формул веществ и уравнений химических реакций;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сущность </w:t>
      </w:r>
      <w:proofErr w:type="spell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путём хлорид</w:t>
      </w:r>
      <w:proofErr w:type="gramEnd"/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734ED" w:rsidRPr="00F925A3" w:rsidRDefault="009979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</w:t>
      </w:r>
      <w:r w:rsidRPr="00F925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научные методы познания – наблюдение, измерение, моделирование, эксперимент (реальный и мысленный).</w:t>
      </w:r>
    </w:p>
    <w:p w:rsidR="00E734ED" w:rsidRPr="00F925A3" w:rsidRDefault="00E734ED">
      <w:pPr>
        <w:rPr>
          <w:sz w:val="24"/>
          <w:szCs w:val="24"/>
          <w:lang w:val="ru-RU"/>
        </w:rPr>
        <w:sectPr w:rsidR="00E734ED" w:rsidRPr="00F925A3" w:rsidSect="00F925A3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E734ED" w:rsidRPr="00F925A3" w:rsidRDefault="0099797C">
      <w:pPr>
        <w:spacing w:after="0"/>
        <w:ind w:left="120"/>
        <w:rPr>
          <w:sz w:val="24"/>
          <w:szCs w:val="24"/>
        </w:rPr>
      </w:pPr>
      <w:bookmarkStart w:id="11" w:name="block-3587066"/>
      <w:bookmarkEnd w:id="7"/>
      <w:r w:rsidRPr="00F925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734ED" w:rsidRPr="00F925A3" w:rsidRDefault="0099797C">
      <w:pPr>
        <w:spacing w:after="0"/>
        <w:ind w:left="120"/>
        <w:rPr>
          <w:sz w:val="24"/>
          <w:szCs w:val="24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F925A3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065"/>
        <w:gridCol w:w="1276"/>
        <w:gridCol w:w="2333"/>
        <w:gridCol w:w="2421"/>
        <w:gridCol w:w="3866"/>
      </w:tblGrid>
      <w:tr w:rsidR="00E734ED" w:rsidRPr="00F925A3" w:rsidTr="00341DBD">
        <w:trPr>
          <w:trHeight w:val="144"/>
          <w:tblCellSpacing w:w="20" w:type="nil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734ED" w:rsidRPr="00F925A3" w:rsidTr="00341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Первоначальные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7F6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C97F6B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C97F6B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  <w:r w:rsidR="0099797C"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F925A3" w:rsidTr="0034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5C0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Водород.Понятие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 кислотах и солях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классы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соединений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F925A3" w:rsidTr="0034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271D4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Строение атомов.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Химическая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связь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Окислительно-восстановительные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341DBD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</w:t>
            </w:r>
            <w:r w:rsidR="00341D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ических элементов Д. </w:t>
            </w:r>
            <w:r w:rsidR="00341D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И. Менделе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ева. </w:t>
            </w:r>
            <w:r w:rsidRPr="00341D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атома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41D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Химическая связь.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-восстановительные реакции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5C0F4A" w:rsidTr="0034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34ED" w:rsidRPr="00F925A3" w:rsidTr="0034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33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C97F6B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41DBD" w:rsidRDefault="0099797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734ED" w:rsidRPr="00F925A3" w:rsidRDefault="0099797C">
      <w:pPr>
        <w:spacing w:after="0"/>
        <w:ind w:left="120"/>
        <w:rPr>
          <w:sz w:val="24"/>
          <w:szCs w:val="24"/>
        </w:rPr>
      </w:pPr>
      <w:proofErr w:type="gramStart"/>
      <w:r w:rsidRPr="00F925A3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556"/>
        <w:gridCol w:w="1476"/>
        <w:gridCol w:w="1841"/>
        <w:gridCol w:w="1910"/>
        <w:gridCol w:w="3050"/>
      </w:tblGrid>
      <w:tr w:rsidR="00E734ED" w:rsidRPr="00F925A3" w:rsidTr="00667E3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504A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734ED" w:rsidRPr="00F925A3" w:rsidTr="00667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5C0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5C0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Галогены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Сера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5C0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5C0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E734ED" w:rsidRPr="005C0F4A" w:rsidTr="00667E3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25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E734ED" w:rsidRPr="00F92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34ED" w:rsidRPr="00F925A3" w:rsidTr="00667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 w:rsidP="00341DB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41DBD" w:rsidRDefault="0099797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2" w:name="block-3587070"/>
      <w:bookmarkEnd w:id="11"/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41DBD" w:rsidRDefault="00341D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341DBD" w:rsidRDefault="00341D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341DBD" w:rsidRDefault="00341D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341DBD" w:rsidRDefault="00341D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341DBD" w:rsidRDefault="00341D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04A52" w:rsidRDefault="00504A5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04A52" w:rsidRDefault="00504A5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E734ED" w:rsidRPr="00F925A3" w:rsidRDefault="0099797C">
      <w:pPr>
        <w:spacing w:after="0"/>
        <w:ind w:left="120"/>
        <w:rPr>
          <w:sz w:val="24"/>
          <w:szCs w:val="24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E734ED" w:rsidRPr="00F925A3" w:rsidRDefault="0099797C">
      <w:pPr>
        <w:spacing w:after="0"/>
        <w:ind w:left="120"/>
        <w:rPr>
          <w:sz w:val="24"/>
          <w:szCs w:val="24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F925A3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5762"/>
        <w:gridCol w:w="946"/>
        <w:gridCol w:w="1841"/>
        <w:gridCol w:w="1910"/>
        <w:gridCol w:w="1347"/>
        <w:gridCol w:w="1248"/>
      </w:tblGrid>
      <w:tr w:rsidR="00E734ED" w:rsidRPr="00F925A3" w:rsidTr="00D92A35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341DBD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341DBD" w:rsidRDefault="00341DB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41D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Коррек</w:t>
            </w:r>
            <w:proofErr w:type="spellEnd"/>
            <w:r w:rsidRPr="00341D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341D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тировка</w:t>
            </w:r>
            <w:proofErr w:type="spellEnd"/>
            <w:r w:rsidRPr="00341D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даты</w:t>
            </w:r>
          </w:p>
        </w:tc>
      </w:tr>
      <w:tr w:rsidR="00B21BD8" w:rsidRPr="00F925A3" w:rsidTr="00D92A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5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</w:tr>
      <w:tr w:rsidR="002B3F1E" w:rsidRPr="00F925A3" w:rsidTr="00D92A35">
        <w:trPr>
          <w:trHeight w:val="144"/>
          <w:tblCellSpacing w:w="20" w:type="nil"/>
        </w:trPr>
        <w:tc>
          <w:tcPr>
            <w:tcW w:w="654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2B3F1E" w:rsidRDefault="002B3F1E" w:rsidP="002B3F1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Первоначальные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271D41" w:rsidRDefault="002B3F1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71D4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F925A3" w:rsidRDefault="002B3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F925A3" w:rsidRDefault="002B3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F925A3" w:rsidRDefault="002B3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2B3F1E" w:rsidRPr="00F925A3" w:rsidRDefault="002B3F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41DBD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инструктаж по ТБ. Предмет химии. Роль химии в жизни человека.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41DBD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2B3F1E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методах познания в химии.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и описание физических свойств образцов неорганических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41DBD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оборудованием.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посудой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41DBD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E734ED" w:rsidRPr="00D92A35" w:rsidRDefault="00D92A35" w:rsidP="005C0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D92A35" w:rsidRDefault="00D92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2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Чистые вещества и смеси. Способы разделения смесей.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способов разделения смесей: с помощью магнита, фильтрование, выпаривание, дистилляция, хроматография.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92A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2 «Разделение смесей (на примере очистки поваренной соли)».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Атомы и молекулы. Атомно- молекулярное учение. Простые и сложные вещества. </w:t>
            </w:r>
          </w:p>
          <w:p w:rsidR="00D92A35" w:rsidRPr="002B3F1E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Создание моделей молекул (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шаростержневых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Стартовая диагностика.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постоянства состава веществ. Химическая формула. Относительная атомная масса. Относительная молекулярная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Валентность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элементов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Расчёты по формулам химических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вещества. Моль. Молярная масса.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количества, массы и числа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структурныхединиц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вещества.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явления. Химическая реакция.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и условия протекания химических реакций. ХЭ Наблюдение и описание признаков химических реакций (разложение сахара, взаимодействие серной кислоты с хлоридом бария,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разложение гидроксида меди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при нагревании, взаимодействие железа с раствором соли меди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массы веществ. Химические уравнения. ХЭ Наблюдение и описание результатов проведения опыта, иллюстрирующего закон сохранения массы.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"Вещества и химические реакции"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654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271D41" w:rsidRDefault="00D92A35" w:rsidP="00D92A3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71D4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271D41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271D41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271D41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— смесь газов. Состав воздуха. Кислород — элемент и простое вещество. Озон- аллотропная модификация кислорода.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Качественное определение содержания кислорода в воздухе.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 в природе, физические и химические свойства кислорода (реакции окисления, горения). Понятие об оксидах.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Наблюдения взаимодействия веществ с кислородом и условия возникновения и прекращения горения (пожара)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Тепловой эффект химической реакции, понятие о термохимическом уравнении, экзо- и эндотермических реакциях.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Топливо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нефть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уголь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метан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воздуха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предотвращения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Оксиды. ХЭ Ознакомление с образцами оксидов и описание их свойств.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кислорода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3 по теме «Получение и собирание, распознавание кислорода, изучение его свойств».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Водород — элемент и простое вещество. Нахождение в природе. Физические и химические свойства водорода.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водорода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кислотах и солях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4 по теме «Получение и собирание водорода, изучение его свойств (горение, взаимодействие водорода с оксидом меди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)" Инструктаж по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Молярный объём газов. Закон Авогадро.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Наблюдение образцов веществ количеством 1 моль.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Повторный инструктаж по ТБ. 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воды.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Взаимодействие воды с металлами (натрием и кальцием)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 оснований. Понятие об индикаторах.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образцов неорганических веществ различных классов, наблюдение изменения окраски индикаторов в растворах щелочей.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Вода как растворитель. Насыщенные и ненасыщенные растворы. Массовая доля вещества в растворе. </w:t>
            </w:r>
          </w:p>
          <w:p w:rsidR="00D92A35" w:rsidRPr="002B3F1E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особенностей растворения веществ с различной растворимостью.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5 по теме «Приготовление растворов с определённой массовой долей растворённого вещества».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Водород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Вода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Оксиды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номенклатура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кислотных, основных и амфотерных оксидов.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Основания: состав, классификация, номенклатура. Щелочи и нерастворимые основания.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Получение и химические свойства оснований.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ХЭ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нерастворимых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оснований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Кислоты: состав, классификация, номенклатура.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ХЭ Исследование образцов неорганических веществ различных классов, наблюдение изменения окраски индикаторов в растворах кислот.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Получение и химические свойства кислот. Ряд активности металлов Н.Н. Бекетова.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взаимодействия оксида меди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с раствором серной кислоты, кислот с металлами, реакций нейтрализации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Соли (средние): номенклатура, способы получения, химические свойства. </w:t>
            </w:r>
          </w:p>
          <w:p w:rsidR="00D92A35" w:rsidRPr="002B3F1E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Вытеснение одного металла другим из раствора соли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3F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6. Решение экспериментальных задач по теме «Важнейшие классы неорганических соединений».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"Основные классы неорганических соединений"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654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</w:p>
          <w:p w:rsidR="00D92A35" w:rsidRDefault="00D92A35" w:rsidP="00D92A35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71D4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Строение атомов. </w:t>
            </w:r>
            <w:r w:rsidRPr="002B3F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Химическая связь. </w:t>
            </w:r>
          </w:p>
          <w:p w:rsidR="00D92A35" w:rsidRPr="002B3F1E" w:rsidRDefault="00D92A35" w:rsidP="00D92A35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B3F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2B3F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F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восстановительные реакции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271D41" w:rsidRDefault="00D92A35" w:rsidP="00D92A3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71D4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Первые попытки классификации химических элементов. Понятие о группах сходных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(щелочные и щелочноземельные металлы, галогены, инертные газы).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образцов веществ металлов и неметаллов, взаимодействие гидроксида цинка с растворами кислот и щелочей.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 (короткопериодная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длиннопериодная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формы).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Периоды, группы, подгруппы. Физический смысл порядкового номера, номеров периода и группы элемента.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атомов. Состав атомных ядер.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Изотопы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Периодический закон и Периодическая система химических элементов Д. И. Менделеева.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Ионная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Ковалентная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полярная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Ковалентная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неполярная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Default="00D92A35" w:rsidP="00D92A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-восстановительные реакции. </w:t>
            </w:r>
          </w:p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ХЭ Проведение опытов, иллюстрирующих примеры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восстановительных реакций (горение, реакции разложения, соединения)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Окислители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восстановители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62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-восстановительные реакции."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92A35" w:rsidRPr="00F925A3" w:rsidTr="00D92A35">
        <w:trPr>
          <w:trHeight w:val="144"/>
          <w:tblCellSpacing w:w="20" w:type="nil"/>
        </w:trPr>
        <w:tc>
          <w:tcPr>
            <w:tcW w:w="6540" w:type="dxa"/>
            <w:gridSpan w:val="2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95" w:type="dxa"/>
            <w:gridSpan w:val="2"/>
            <w:tcMar>
              <w:top w:w="50" w:type="dxa"/>
              <w:left w:w="100" w:type="dxa"/>
            </w:tcMar>
            <w:vAlign w:val="center"/>
          </w:tcPr>
          <w:p w:rsidR="00D92A35" w:rsidRPr="00F925A3" w:rsidRDefault="00D92A35" w:rsidP="00D92A35">
            <w:pPr>
              <w:rPr>
                <w:sz w:val="24"/>
                <w:szCs w:val="24"/>
              </w:rPr>
            </w:pPr>
          </w:p>
        </w:tc>
      </w:tr>
    </w:tbl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2B3F1E" w:rsidRDefault="002B3F1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B3F1E" w:rsidRDefault="002B3F1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B3F1E" w:rsidRDefault="002B3F1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B3F1E" w:rsidRDefault="002B3F1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E734ED" w:rsidRDefault="0099797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F925A3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F925A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p w:rsidR="002B3F1E" w:rsidRPr="00F925A3" w:rsidRDefault="002B3F1E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5634"/>
        <w:gridCol w:w="946"/>
        <w:gridCol w:w="1841"/>
        <w:gridCol w:w="1910"/>
        <w:gridCol w:w="1361"/>
        <w:gridCol w:w="1229"/>
      </w:tblGrid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 w:rsidP="006639CA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ED" w:rsidRPr="006639CA" w:rsidRDefault="006639C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63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Коррек</w:t>
            </w:r>
            <w:proofErr w:type="spellEnd"/>
            <w:r w:rsidRPr="00663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663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тровка</w:t>
            </w:r>
            <w:proofErr w:type="spellEnd"/>
            <w:r w:rsidRPr="00663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даты</w:t>
            </w: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5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675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66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6B07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Вводный инструктаж по ТБ.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решёток, зависимость свойств вещества от типа кристаллической решётки и типа химической связи. ХЭ Ознакомление с моделями кристаллических решёток неорганических веществ – металлов и неметаллов (графита и алмаза), сложных веществ (хлорида натрия)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«Повторение и углубление знаний основных разделов курса 8 класса»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Классификация химических реакций по различным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признакампо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катализатора).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Экзо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эндотермические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термохимические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скорости химической реакции. Понятие о гомогенных и гетерогенных реакциях. Понятие о катализе.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зависимости скорости химической реакции от воздействия различных факторов.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обратимых и необратимых химических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-восстановительные реакции, электронный баланс. Составление уравнений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восстановительных реакций с использованием метода электронного баланса.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ХЭ Проведение опытов, иллюстрирующих примеры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-восстановительных реакций (горение, реакции разложения, соединения)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электролиты. Степень диссоциации. Механизм диссоциации веществ с различными видами химической связи.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электропроводности растворов веществ, процесса диссоциации кислот, щелочей и солей.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Ионные уравнения реакций. Условия протекания реакций ионного обмена, полные и сокращенные ионные уравнения.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Проведение опытов, иллюстрирующих признаки протекания реакций ионного обмена (образование осадка, выделение газа, образование воды)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солей в свете представлений об электролитической диссоциации.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ионы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1. «Решение экспериментальных задач по теме "Распознавание неорганических веществ с помощью качественных реакций на ионы".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гидролизе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солей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"Электролитическая диссоциация.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растворах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растворах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675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66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6639CA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галогенов. Химические свойства на примере хлора.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ХЭ Опыты, отражающие физические и химические свойства галогенов и 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Хлороводород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Соляная кислота, химические свойства, получение, применение. </w:t>
            </w:r>
          </w:p>
          <w:p w:rsidR="00E734ED" w:rsidRPr="006B0744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ХЭ Проведение качественных реакций на хлорид-ионы и наблюдение признаков их протекания. </w:t>
            </w:r>
            <w:r w:rsidRPr="006B07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образцами хлоридов (галогенидов).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07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2 по теме «Получение соляной кислоты, изучение её свойств».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Аллотропные модификации серы. Нахождение серы и её соединений в природе. Химические свойства серы. ХЭ Изучение образцов неорганических веществ.</w:t>
            </w:r>
            <w:r w:rsidR="006B07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образцами серы и её соединениями.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применение. ХЭ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соединениями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серы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А-группы. Азот, распространение в природе, физические и химические свойства.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ХЭ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физическими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свойствами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азота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применение. Соли аммония. ХЭ Проведение качественных реакций на ион аммония и изучение признаков их протекания.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3 по теме «Получение аммиака, изучение его свойств».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Азотная кислота, её получение, физические и химические свойства.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ХЭ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азотной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кислоты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медью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соединениями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азота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 и фосфорная кислота, физические и химические свойства, получение. ХЭ Ознакомление с физическими свойствами фосфора и его соединений, проведение качественных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реакций на ион аммония и фосфат-ион и изучение признаков их протекания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фосфатами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Углерод, распространение в природе, физические и химические свойства.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Угольная кислота и её соли.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4 по теме "Получение, собирание, распознавание и изучение свойств углекислого газа.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Качественная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карбонат-ион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Кремний и его соединения.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проведение качественной реакции на силикат-ион и изучение признаков её протекания, ознакомление с продукцией силикатной промышленности.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соединения». </w:t>
            </w:r>
          </w:p>
          <w:p w:rsidR="00E734ED" w:rsidRPr="006639CA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"Неметаллы и их соединения 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3373D2">
        <w:trPr>
          <w:trHeight w:val="144"/>
          <w:tblCellSpacing w:w="20" w:type="nil"/>
        </w:trPr>
        <w:tc>
          <w:tcPr>
            <w:tcW w:w="675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3373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3373D2" w:rsidRDefault="003373D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373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3373D2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3373D2" w:rsidRDefault="006639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3373D2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39CA" w:rsidRPr="00F925A3" w:rsidRDefault="0066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свойства металлов.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Ознакомление с образцами металлов и сплавов, их физическими свойствами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коррозии металлов.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результатов коррозии металлов.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6B0744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Щелочные металлы.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особенностей взаимодействия оксида натрия с водой.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 и гидроксиды натрия и калия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магний. ХЭ Изучение особенностей взаимодействия оксида кальция с водой.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кальция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3373D2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 по теме "Жёсткость воды и способы её устранения.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свойств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жёсткой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3373D2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Амфотерные свойства оксида и гидроксида.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амфотерных свойств гидроксида алюминия и гидроксида цинка.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3373D2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Железо.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процесса горения железа в кислороде.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Оксиды, гидроксиды и соли железа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3373D2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"Металлы и их соединения"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Исследование признаков протекания качественных реакций на ионы: магния, кальция, алюминия, цинка, железа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меди (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наблюдение и описание процессов окрашивания пламени ионами натрия, калия и кальция 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3373D2" w:rsidRDefault="009979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7. Решение экспериментальных задач по теме «Важнейшие металлы и их соединения». </w:t>
            </w:r>
          </w:p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доли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выхода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продукта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«Важнейшие 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"Неметаллы и их соединения", "Металлы и их соединения".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373D2" w:rsidRPr="00F925A3" w:rsidTr="003373D2">
        <w:trPr>
          <w:trHeight w:val="144"/>
          <w:tblCellSpacing w:w="20" w:type="nil"/>
        </w:trPr>
        <w:tc>
          <w:tcPr>
            <w:tcW w:w="675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3373D2" w:rsidRPr="00F925A3" w:rsidRDefault="003373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373D2" w:rsidRPr="003373D2" w:rsidRDefault="003373D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373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73D2" w:rsidRPr="003373D2" w:rsidRDefault="003373D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73D2" w:rsidRPr="003373D2" w:rsidRDefault="003373D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373D2" w:rsidRPr="003373D2" w:rsidRDefault="003373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373D2" w:rsidRPr="00F925A3" w:rsidRDefault="003373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Вещества и материалы в повседневной жизни человека. ХЭ Изучение образцов материалов (стекло, сплавы металлов, полимерные материалы).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28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639CA" w:rsidRPr="00F925A3" w:rsidTr="006639CA">
        <w:trPr>
          <w:trHeight w:val="144"/>
          <w:tblCellSpacing w:w="20" w:type="nil"/>
        </w:trPr>
        <w:tc>
          <w:tcPr>
            <w:tcW w:w="6752" w:type="dxa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34ED" w:rsidRPr="00F925A3" w:rsidRDefault="009979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2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1" w:type="dxa"/>
            <w:gridSpan w:val="2"/>
            <w:tcMar>
              <w:top w:w="50" w:type="dxa"/>
              <w:left w:w="100" w:type="dxa"/>
            </w:tcMar>
            <w:vAlign w:val="center"/>
          </w:tcPr>
          <w:p w:rsidR="00E734ED" w:rsidRPr="00F925A3" w:rsidRDefault="00E734ED">
            <w:pPr>
              <w:rPr>
                <w:sz w:val="24"/>
                <w:szCs w:val="24"/>
              </w:rPr>
            </w:pPr>
          </w:p>
        </w:tc>
      </w:tr>
    </w:tbl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bookmarkStart w:id="13" w:name="_GoBack"/>
      <w:bookmarkEnd w:id="13"/>
    </w:p>
    <w:p w:rsidR="00E734ED" w:rsidRPr="00F925A3" w:rsidRDefault="00E734ED">
      <w:pPr>
        <w:rPr>
          <w:sz w:val="24"/>
          <w:szCs w:val="24"/>
        </w:rPr>
        <w:sectPr w:rsidR="00E734ED" w:rsidRPr="00F925A3" w:rsidSect="00F925A3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14" w:name="block-3587072"/>
      <w:bookmarkEnd w:id="12"/>
    </w:p>
    <w:bookmarkEnd w:id="14"/>
    <w:p w:rsidR="0099797C" w:rsidRPr="00F925A3" w:rsidRDefault="0099797C">
      <w:pPr>
        <w:rPr>
          <w:sz w:val="24"/>
          <w:szCs w:val="24"/>
        </w:rPr>
      </w:pPr>
    </w:p>
    <w:sectPr w:rsidR="0099797C" w:rsidRPr="00F925A3" w:rsidSect="00F925A3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10EF2"/>
    <w:multiLevelType w:val="multilevel"/>
    <w:tmpl w:val="29249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932E25"/>
    <w:multiLevelType w:val="multilevel"/>
    <w:tmpl w:val="FFD8B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ED"/>
    <w:rsid w:val="00010A02"/>
    <w:rsid w:val="00271D41"/>
    <w:rsid w:val="002B3F1E"/>
    <w:rsid w:val="002E04C8"/>
    <w:rsid w:val="003373D2"/>
    <w:rsid w:val="00341DBD"/>
    <w:rsid w:val="00504A52"/>
    <w:rsid w:val="005C0F4A"/>
    <w:rsid w:val="006639CA"/>
    <w:rsid w:val="00667E30"/>
    <w:rsid w:val="006B0744"/>
    <w:rsid w:val="0099797C"/>
    <w:rsid w:val="00B21BD8"/>
    <w:rsid w:val="00C3345E"/>
    <w:rsid w:val="00C97F6B"/>
    <w:rsid w:val="00D92A35"/>
    <w:rsid w:val="00E734ED"/>
    <w:rsid w:val="00F9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0D52"/>
  <w15:docId w15:val="{49633F2B-6C2E-4DEA-8CE5-7265DAA6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38</Pages>
  <Words>9770</Words>
  <Characters>55690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2023-09-04T18:00:00Z</dcterms:created>
  <dcterms:modified xsi:type="dcterms:W3CDTF">2023-09-13T16:53:00Z</dcterms:modified>
</cp:coreProperties>
</file>